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7 (Financial Difficulties)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[Guidance: This Schedule provides CCS and the Buyer with the option of using Credit Ratings and/or Financial Indicators for the purposes of the Financial Distress Provisions. Buyers may use any combination of these indicators to suit their own</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requirements subject to the detailed guidance below.  ]</w:t>
      </w:r>
      <w:r w:rsidDel="00000000" w:rsidR="00000000" w:rsidRPr="00000000">
        <w:rPr>
          <w:rFonts w:ascii="Arial" w:cs="Arial" w:eastAsia="Arial" w:hAnsi="Arial"/>
          <w:b w:val="0"/>
          <w:i w:val="0"/>
          <w:smallCaps w:val="0"/>
          <w:strike w:val="0"/>
          <w:color w:val="000000"/>
          <w:sz w:val="36"/>
          <w:szCs w:val="36"/>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5">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539.0" w:type="dxa"/>
        <w:jc w:val="left"/>
        <w:tblInd w:w="1008.0" w:type="dxa"/>
        <w:tblLayout w:type="fixed"/>
        <w:tblLook w:val="0000"/>
      </w:tblPr>
      <w:tblGrid>
        <w:gridCol w:w="2417"/>
        <w:gridCol w:w="6122"/>
        <w:tblGridChange w:id="0">
          <w:tblGrid>
            <w:gridCol w:w="2417"/>
            <w:gridCol w:w="6122"/>
          </w:tblGrid>
        </w:tblGridChange>
      </w:tblGrid>
      <w:tr>
        <w:trPr>
          <w:cantSplit w:val="0"/>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“Applicable Financial Indicators”</w:t>
            </w:r>
          </w:p>
        </w:tc>
        <w:tc>
          <w:tcPr/>
          <w:p w:rsidR="00000000" w:rsidDel="00000000" w:rsidP="00000000" w:rsidRDefault="00000000" w:rsidRPr="00000000" w14:paraId="0000000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financial indicators from Paragraph 5.1 of this Schedule which are to apply to the Monitored Suppliers as set out in Paragraph 5.2 of this Schedule;</w:t>
            </w:r>
          </w:p>
        </w:tc>
      </w:tr>
      <w:tr>
        <w:trPr>
          <w:cantSplit w:val="0"/>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w:t>
            </w:r>
          </w:p>
        </w:tc>
        <w:tc>
          <w:tcPr/>
          <w:p w:rsidR="00000000" w:rsidDel="00000000" w:rsidP="00000000" w:rsidRDefault="00000000" w:rsidRPr="00000000" w14:paraId="0000000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Supplier’s board of directors;</w:t>
            </w:r>
          </w:p>
        </w:tc>
      </w:tr>
      <w:tr>
        <w:trPr>
          <w:cantSplit w:val="0"/>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 Confirmation”</w:t>
            </w:r>
          </w:p>
        </w:tc>
        <w:tc>
          <w:tcPr/>
          <w:p w:rsidR="00000000" w:rsidDel="00000000" w:rsidP="00000000" w:rsidRDefault="00000000" w:rsidRPr="00000000" w14:paraId="0000000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written confirmation from the Board in accordance with Paragraph 8 of this Schedule;</w:t>
            </w:r>
          </w:p>
        </w:tc>
      </w:tr>
      <w:tr>
        <w:trPr>
          <w:cantSplit w:val="0"/>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“Cabinet Office Markets and Suppliers Team”</w:t>
            </w:r>
          </w:p>
        </w:tc>
        <w:tc>
          <w:tcPr/>
          <w:p w:rsidR="00000000" w:rsidDel="00000000" w:rsidP="00000000" w:rsidRDefault="00000000" w:rsidRPr="00000000" w14:paraId="0000000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0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each entity in the FDE Group as set out in Annex 1 to this Schedule </w:t>
            </w:r>
          </w:p>
        </w:tc>
      </w:tr>
      <w:tr>
        <w:trPr>
          <w:cantSplit w:val="0"/>
          <w:tblHeader w:val="0"/>
        </w:trPr>
        <w:tc>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“FDE Group”</w:t>
            </w:r>
          </w:p>
        </w:tc>
        <w:tc>
          <w:tcPr/>
          <w:p w:rsidR="00000000" w:rsidDel="00000000" w:rsidP="00000000" w:rsidRDefault="00000000" w:rsidRPr="00000000" w14:paraId="0000001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[Supplier, Key Sub-contractors, [the Guarantor] and the [Monitored Suppliers]];</w:t>
            </w:r>
            <w:r w:rsidDel="00000000" w:rsidR="00000000" w:rsidRPr="00000000">
              <w:rPr>
                <w:rtl w:val="0"/>
              </w:rPr>
            </w:r>
          </w:p>
        </w:tc>
      </w:tr>
      <w:tr>
        <w:trPr>
          <w:cantSplit w:val="0"/>
          <w:tblHeader w:val="0"/>
        </w:trPr>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01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events listed in Paragraph 3.1 of this Schedule; </w:t>
            </w:r>
          </w:p>
        </w:tc>
      </w:tr>
      <w:tr>
        <w:trPr>
          <w:cantSplit w:val="0"/>
          <w:tblHeader w:val="0"/>
        </w:trPr>
        <w:tc>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Remediation Plan”</w:t>
            </w:r>
          </w:p>
        </w:tc>
        <w:tc>
          <w:tcPr/>
          <w:p w:rsidR="00000000" w:rsidDel="00000000" w:rsidP="00000000" w:rsidRDefault="00000000" w:rsidRPr="00000000" w14:paraId="0000001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Indicators”</w:t>
            </w:r>
          </w:p>
        </w:tc>
        <w:tc>
          <w:tcPr/>
          <w:p w:rsidR="00000000" w:rsidDel="00000000" w:rsidP="00000000" w:rsidRDefault="00000000" w:rsidRPr="00000000" w14:paraId="0000001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Thresholds”</w:t>
            </w:r>
          </w:p>
        </w:tc>
        <w:tc>
          <w:tcPr/>
          <w:p w:rsidR="00000000" w:rsidDel="00000000" w:rsidP="00000000" w:rsidRDefault="00000000" w:rsidRPr="00000000" w14:paraId="0000001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Suppliers”</w:t>
            </w:r>
          </w:p>
        </w:tc>
        <w:tc>
          <w:tcPr/>
          <w:p w:rsidR="00000000" w:rsidDel="00000000" w:rsidP="00000000" w:rsidRDefault="00000000" w:rsidRPr="00000000" w14:paraId="0000001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entities specified at paragraph 5.2 of this Schedule;</w:t>
            </w:r>
          </w:p>
        </w:tc>
      </w:tr>
      <w:tr>
        <w:trPr>
          <w:cantSplit w:val="0"/>
          <w:tblHeader w:val="0"/>
        </w:trPr>
        <w:tc>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01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Annex 1 of this Schedule.</w:t>
            </w:r>
          </w:p>
        </w:tc>
      </w:tr>
      <w:tr>
        <w:trPr>
          <w:cantSplit w:val="0"/>
          <w:tblHeader w:val="0"/>
        </w:trPr>
        <w:tc>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“Strategic Supplier”</w:t>
            </w:r>
          </w:p>
        </w:tc>
        <w:tc>
          <w:tcPr/>
          <w:p w:rsidR="00000000" w:rsidDel="00000000" w:rsidP="00000000" w:rsidRDefault="00000000" w:rsidRPr="00000000" w14:paraId="0000001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suppliers to government listed at </w:t>
            </w:r>
            <w:hyperlink r:id="r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https://www.gov.uk/government/publications/strategic-suppliers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bl>
    <w:p w:rsidR="00000000" w:rsidDel="00000000" w:rsidP="00000000" w:rsidRDefault="00000000" w:rsidRPr="00000000" w14:paraId="0000002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comply with the provisions of this Schedule in relation to the assessment of the financial standing of the FDE Group and the consequences of a change to that financial standing.</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217.99999999999997"/>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Warranties and duty to notify</w:t>
      </w:r>
    </w:p>
    <w:p w:rsidR="00000000" w:rsidDel="00000000" w:rsidP="00000000" w:rsidRDefault="00000000" w:rsidRPr="00000000" w14:paraId="0000002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the Relevant Authority for the benefit of the Relevant Authority that as at the Effective Date:</w:t>
      </w:r>
    </w:p>
    <w:p w:rsidR="00000000" w:rsidDel="00000000" w:rsidP="00000000" w:rsidRDefault="00000000" w:rsidRPr="00000000" w14:paraId="0000002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02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02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02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entity in the FDE Group with the Rating Agencies;</w:t>
      </w:r>
    </w:p>
    <w:p w:rsidR="00000000" w:rsidDel="00000000" w:rsidP="00000000" w:rsidRDefault="00000000" w:rsidRPr="00000000" w14:paraId="0000002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00000" w:rsidDel="00000000" w:rsidP="00000000" w:rsidRDefault="00000000" w:rsidRPr="00000000" w14:paraId="0000002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2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000000" w:rsidDel="00000000" w:rsidP="00000000" w:rsidRDefault="00000000" w:rsidRPr="00000000" w14:paraId="0000002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report submitted by the Supplier pursuant to paragraph 2.3.2 shall:</w:t>
      </w:r>
    </w:p>
    <w:p w:rsidR="00000000" w:rsidDel="00000000" w:rsidP="00000000" w:rsidRDefault="00000000" w:rsidRPr="00000000" w14:paraId="0000002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 single report with separate sections for each of the FDE Group entities;</w:t>
      </w:r>
    </w:p>
    <w:p w:rsidR="00000000" w:rsidDel="00000000" w:rsidP="00000000" w:rsidRDefault="00000000" w:rsidRPr="00000000" w14:paraId="0000002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sufficient level of information to enable the Relevant Authority to verify the calculations that have been made in respect of the Financial Indicators;</w:t>
      </w:r>
    </w:p>
    <w:p w:rsidR="00000000" w:rsidDel="00000000" w:rsidP="00000000" w:rsidRDefault="00000000" w:rsidRPr="00000000" w14:paraId="0000002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key financial and other supporting information (including any accounts data that has been relied on) as separate annexes;</w:t>
      </w:r>
    </w:p>
    <w:p w:rsidR="00000000" w:rsidDel="00000000" w:rsidP="00000000" w:rsidRDefault="00000000" w:rsidRPr="00000000" w14:paraId="0000003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03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history of the Financial Indicators reported by the Supplier in graph form to enable the Relevant Authority to easily analyse and assess the trends in financial performance.</w:t>
      </w:r>
    </w:p>
    <w:p w:rsidR="00000000" w:rsidDel="00000000" w:rsidP="00000000" w:rsidRDefault="00000000" w:rsidRPr="00000000" w14:paraId="00000032">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events</w:t>
      </w:r>
    </w:p>
    <w:p w:rsidR="00000000" w:rsidDel="00000000" w:rsidP="00000000" w:rsidRDefault="00000000" w:rsidRPr="00000000" w14:paraId="0000003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shall be Financial Distress Events:</w:t>
      </w:r>
    </w:p>
    <w:p w:rsidR="00000000" w:rsidDel="00000000" w:rsidP="00000000" w:rsidRDefault="00000000" w:rsidRPr="00000000" w14:paraId="0000003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an FDE Group entity dropping below the applicable Credit Rating Threshold;</w:t>
      </w:r>
    </w:p>
    <w:p w:rsidR="00000000" w:rsidDel="00000000" w:rsidP="00000000" w:rsidRDefault="00000000" w:rsidRPr="00000000" w14:paraId="0000003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03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03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committing a material breach of covenant to its lenders;</w:t>
      </w:r>
    </w:p>
    <w:p w:rsidR="00000000" w:rsidDel="00000000" w:rsidP="00000000" w:rsidRDefault="00000000" w:rsidRPr="00000000" w14:paraId="0000003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03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03A">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03B">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an FDE Group entity of any financial indebtedness;</w:t>
      </w:r>
    </w:p>
    <w:p w:rsidR="00000000" w:rsidDel="00000000" w:rsidP="00000000" w:rsidRDefault="00000000" w:rsidRPr="00000000" w14:paraId="0000003C">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an FDE Group entity becoming due as a result of an event of default;</w:t>
      </w:r>
    </w:p>
    <w:p w:rsidR="00000000" w:rsidDel="00000000" w:rsidP="00000000" w:rsidRDefault="00000000" w:rsidRPr="00000000" w14:paraId="0000003D">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an FDE Group entity; or</w:t>
      </w:r>
    </w:p>
    <w:p w:rsidR="00000000" w:rsidDel="00000000" w:rsidP="00000000" w:rsidRDefault="00000000" w:rsidRPr="00000000" w14:paraId="0000003E">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66"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4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41">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Consequences of Financial Distress Events</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000000" w:rsidDel="00000000" w:rsidP="00000000" w:rsidRDefault="00000000" w:rsidRPr="00000000" w14:paraId="0000004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late or non-payment of a Key Sub-contractor pursuant to Paragraph 3.1.5, the Relevant Authority shall not exercise any of its rights or remedies under Paragraph 4.3 without first giving the Supplier 10 Working Days to:</w:t>
      </w:r>
    </w:p>
    <w:p w:rsidR="00000000" w:rsidDel="00000000" w:rsidP="00000000" w:rsidRDefault="00000000" w:rsidRPr="00000000" w14:paraId="0000004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w:t>
      </w:r>
    </w:p>
    <w:p w:rsidR="00000000" w:rsidDel="00000000" w:rsidP="00000000" w:rsidRDefault="00000000" w:rsidRPr="00000000" w14:paraId="0000004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the Relevant Authority’s reasonable satisfaction that there is a valid reason for late or non-payment.</w:t>
      </w:r>
    </w:p>
    <w:p w:rsidR="00000000" w:rsidDel="00000000" w:rsidP="00000000" w:rsidRDefault="00000000" w:rsidRPr="00000000" w14:paraId="0000004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Monitored Supplier, the Guarantor and/or any relevant Key Sub-contractor shall):</w:t>
      </w:r>
    </w:p>
    <w:p w:rsidR="00000000" w:rsidDel="00000000" w:rsidP="00000000" w:rsidRDefault="00000000" w:rsidRPr="00000000" w14:paraId="0000004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04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rsidR="00000000" w:rsidDel="00000000" w:rsidP="00000000" w:rsidRDefault="00000000" w:rsidRPr="00000000" w14:paraId="00000049">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000000" w:rsidDel="00000000" w:rsidP="00000000" w:rsidRDefault="00000000" w:rsidRPr="00000000" w14:paraId="0000004A">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04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rsidR="00000000" w:rsidDel="00000000" w:rsidP="00000000" w:rsidRDefault="00000000" w:rsidRPr="00000000" w14:paraId="0000004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04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Remediation Plan by the Relevant Authority, the Supplier shall:</w:t>
      </w:r>
    </w:p>
    <w:p w:rsidR="00000000" w:rsidDel="00000000" w:rsidP="00000000" w:rsidRDefault="00000000" w:rsidRPr="00000000" w14:paraId="0000004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fortnightly):</w:t>
      </w:r>
    </w:p>
    <w:p w:rsidR="00000000" w:rsidDel="00000000" w:rsidP="00000000" w:rsidRDefault="00000000" w:rsidRPr="00000000" w14:paraId="0000004F">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000000" w:rsidDel="00000000" w:rsidP="00000000" w:rsidRDefault="00000000" w:rsidRPr="00000000" w14:paraId="00000050">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05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rsidR="00000000" w:rsidDel="00000000" w:rsidP="00000000" w:rsidRDefault="00000000" w:rsidRPr="00000000" w14:paraId="0000005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05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000000" w:rsidDel="00000000" w:rsidP="00000000" w:rsidRDefault="00000000" w:rsidRPr="00000000" w14:paraId="0000005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rsidR="00000000" w:rsidDel="00000000" w:rsidP="00000000" w:rsidRDefault="00000000" w:rsidRPr="00000000" w14:paraId="0000005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05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p>
    <w:p w:rsidR="00000000" w:rsidDel="00000000" w:rsidP="00000000" w:rsidRDefault="00000000" w:rsidRPr="00000000" w14:paraId="0000005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rsidR="00000000" w:rsidDel="00000000" w:rsidP="00000000" w:rsidRDefault="00000000" w:rsidRPr="00000000" w14:paraId="0000005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059">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Indicators</w:t>
      </w:r>
    </w:p>
    <w:p w:rsidR="00000000" w:rsidDel="00000000" w:rsidP="00000000" w:rsidRDefault="00000000" w:rsidRPr="00000000" w14:paraId="0000005A">
      <w:pPr>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[Buyer Guidance: The Financial Indicators set out in the table at paragraph 5.1 are  established at Framework level to satisfy Cabinet Office Contract Tiering Tool requirements. For the purposes of your call off activity you may check that the original assessment of the indicators remains valid, but you may not re-run those assessments. You may also opt to ask the Supplier to monitor themselves according to some, rather than all, of the indicators in accordance with your internal procedures but you should not introduce new indicators or amend those set out below. Please take your own legal advice if you are uncertain how to proceed.]</w:t>
      </w:r>
      <w:r w:rsidDel="00000000" w:rsidR="00000000" w:rsidRPr="00000000">
        <w:rPr>
          <w:rtl w:val="0"/>
        </w:rPr>
      </w:r>
    </w:p>
    <w:p w:rsidR="00000000" w:rsidDel="00000000" w:rsidP="00000000" w:rsidRDefault="00000000" w:rsidRPr="00000000" w14:paraId="0000005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Table2"/>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shd w:fill="d9d9d9" w:val="clear"/>
            <w:vAlign w:val="cente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r w:rsidDel="00000000" w:rsidR="00000000" w:rsidRPr="00000000">
              <w:rPr>
                <w:rtl w:val="0"/>
              </w:rPr>
            </w:r>
          </w:p>
        </w:tc>
        <w:tc>
          <w:tcPr>
            <w:shd w:fill="d9d9d9" w:val="clea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Calculation</w:t>
            </w:r>
            <w:r w:rsidDel="00000000" w:rsidR="00000000" w:rsidRPr="00000000">
              <w:rPr>
                <w:rFonts w:ascii="Arial" w:cs="Arial" w:eastAsia="Arial" w:hAnsi="Arial"/>
                <w:b w:val="1"/>
                <w:i w:val="0"/>
                <w:smallCaps w:val="0"/>
                <w:strike w:val="0"/>
                <w:color w:val="000000"/>
                <w:sz w:val="24"/>
                <w:szCs w:val="24"/>
                <w:u w:val="none"/>
                <w:shd w:fill="auto" w:val="clear"/>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w:t>
            </w:r>
          </w:p>
        </w:tc>
        <w:tc>
          <w:tcPr>
            <w:shd w:fill="d9d9d9" w:val="cle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Monitoring and Reporting Frequency</w:t>
            </w:r>
          </w:p>
        </w:tc>
      </w:tr>
      <w:tr>
        <w:trPr>
          <w:cantSplit w:val="0"/>
          <w:tblHeader w:val="0"/>
        </w:trPr>
        <w:tc>
          <w:tcP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1</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Operating Margin</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tl w:val="0"/>
              </w:rPr>
            </w:r>
          </w:p>
        </w:tc>
        <w:tc>
          <w:tcP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Operating Margin = Operating Profit / Revenue</w:t>
            </w:r>
            <w:r w:rsidDel="00000000" w:rsidR="00000000" w:rsidRPr="00000000">
              <w:rPr>
                <w:rtl w:val="0"/>
              </w:rPr>
            </w:r>
          </w:p>
        </w:tc>
        <w:tc>
          <w:tcP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&gt; </w:t>
            </w:r>
            <w:r w:rsidDel="00000000" w:rsidR="00000000" w:rsidRPr="00000000">
              <w:rPr>
                <w:rFonts w:ascii="Arial" w:cs="Arial" w:eastAsia="Arial" w:hAnsi="Arial"/>
                <w:i w:val="1"/>
                <w:sz w:val="24"/>
                <w:szCs w:val="24"/>
                <w:rtl w:val="0"/>
              </w:rPr>
              <w:t xml:space="preserve">2</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w:t>
            </w:r>
          </w:p>
        </w:tc>
        <w:tc>
          <w:tcP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yearly</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in arrears within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90</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days of each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accounting reference date</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based upon figures for the 12 months ending on the relevant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accounting reference date </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7030a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2</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Net Debt to EBITDA Ratio</w:t>
            </w:r>
            <w:r w:rsidDel="00000000" w:rsidR="00000000" w:rsidRPr="00000000">
              <w:rPr>
                <w:rtl w:val="0"/>
              </w:rPr>
            </w:r>
          </w:p>
        </w:tc>
        <w:tc>
          <w:tcPr>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7030a0"/>
                <w:sz w:val="24"/>
                <w:szCs w:val="24"/>
                <w:u w:val="none"/>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Net Debt to EBITDA ratio = Net Debt / EBITDA</w:t>
            </w:r>
            <w:r w:rsidDel="00000000" w:rsidR="00000000" w:rsidRPr="00000000">
              <w:rPr>
                <w:rtl w:val="0"/>
              </w:rPr>
            </w:r>
          </w:p>
        </w:tc>
        <w:tc>
          <w:tcPr>
            <w:vAlign w:val="cente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&lt; </w:t>
            </w:r>
            <w:r w:rsidDel="00000000" w:rsidR="00000000" w:rsidRPr="00000000">
              <w:rPr>
                <w:rFonts w:ascii="Arial" w:cs="Arial" w:eastAsia="Arial" w:hAnsi="Arial"/>
                <w:i w:val="1"/>
                <w:sz w:val="24"/>
                <w:szCs w:val="24"/>
                <w:rtl w:val="0"/>
              </w:rPr>
              <w:t xml:space="preserve">3.5</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times</w:t>
            </w:r>
          </w:p>
        </w:tc>
        <w:tc>
          <w:tcPr>
            <w:vAlign w:val="center"/>
          </w:tcPr>
          <w:p w:rsidR="00000000" w:rsidDel="00000000" w:rsidP="00000000" w:rsidRDefault="00000000" w:rsidRPr="00000000" w14:paraId="0000006D">
            <w:pPr>
              <w:spacing w:after="200" w:before="100" w:lineRule="auto"/>
              <w:jc w:val="center"/>
              <w:rPr>
                <w:rFonts w:ascii="Arial" w:cs="Arial" w:eastAsia="Arial" w:hAnsi="Arial"/>
                <w:i w:val="1"/>
                <w:color w:val="7030a0"/>
                <w:sz w:val="24"/>
                <w:szCs w:val="24"/>
              </w:rPr>
            </w:pPr>
            <w:r w:rsidDel="00000000" w:rsidR="00000000" w:rsidRPr="00000000">
              <w:rPr>
                <w:rFonts w:ascii="Arial" w:cs="Arial" w:eastAsia="Arial" w:hAnsi="Arial"/>
                <w:i w:val="1"/>
                <w:sz w:val="24"/>
                <w:szCs w:val="24"/>
                <w:rtl w:val="0"/>
              </w:rPr>
              <w:t xml:space="preserve">Tested and reported yearly in arrears within 90 days of each accounting reference date based upon [EBITDA] for the 12 months ending on, and Net Debt at, the relevant accounting reference date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3</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Net Debt + Net Pension Deficit to EBITDA ratio</w:t>
            </w:r>
            <w:r w:rsidDel="00000000" w:rsidR="00000000" w:rsidRPr="00000000">
              <w:rPr>
                <w:rtl w:val="0"/>
              </w:rPr>
            </w:r>
          </w:p>
        </w:tc>
        <w:tc>
          <w:tcPr>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Net Debt + Net Pension Deficit to EBITDA Ratio = (Net Debt + Net Pension Deficit) / EBITDA</w:t>
            </w:r>
            <w:r w:rsidDel="00000000" w:rsidR="00000000" w:rsidRPr="00000000">
              <w:rPr>
                <w:rtl w:val="0"/>
              </w:rPr>
            </w:r>
          </w:p>
        </w:tc>
        <w:tc>
          <w:tcPr>
            <w:vAlign w:val="cente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&lt; </w:t>
            </w:r>
            <w:r w:rsidDel="00000000" w:rsidR="00000000" w:rsidRPr="00000000">
              <w:rPr>
                <w:rFonts w:ascii="Arial" w:cs="Arial" w:eastAsia="Arial" w:hAnsi="Arial"/>
                <w:i w:val="1"/>
                <w:sz w:val="24"/>
                <w:szCs w:val="24"/>
                <w:rtl w:val="0"/>
              </w:rPr>
              <w:t xml:space="preserve">5</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times</w:t>
            </w:r>
          </w:p>
        </w:tc>
        <w:tc>
          <w:tcPr>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Tested and reported yearly in arrears within</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i w:val="1"/>
                <w:sz w:val="24"/>
                <w:szCs w:val="24"/>
                <w:rtl w:val="0"/>
              </w:rPr>
              <w:t xml:space="preserve">90</w:t>
            </w:r>
            <w:r w:rsidDel="00000000" w:rsidR="00000000" w:rsidRPr="00000000">
              <w:rPr>
                <w:rFonts w:ascii="Arial" w:cs="Arial" w:eastAsia="Arial" w:hAnsi="Arial"/>
                <w:b w:val="0"/>
                <w:i w:val="1"/>
                <w:smallCaps w:val="0"/>
                <w:strike w:val="0"/>
                <w:color w:val="f79646"/>
                <w:sz w:val="24"/>
                <w:szCs w:val="24"/>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days of each accounting reference date based upon EBITDA for the 12 months ending on, and the Net Debt and Net Pension Deficit at, the relevant accounting reference date</w:t>
            </w:r>
          </w:p>
        </w:tc>
      </w:tr>
      <w:tr>
        <w:trPr>
          <w:cantSplit w:val="0"/>
          <w:tblHeader w:val="0"/>
        </w:trPr>
        <w:tc>
          <w:tcPr>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4</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Net Interest Paid Cover</w:t>
            </w:r>
            <w:r w:rsidDel="00000000" w:rsidR="00000000" w:rsidRPr="00000000">
              <w:rPr>
                <w:rtl w:val="0"/>
              </w:rPr>
            </w:r>
          </w:p>
        </w:tc>
        <w:tc>
          <w:tcPr>
            <w:vAlign w:val="cente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Net Interest Paid Cover = Earnings Before Interest and Tax / Net Interest Paid</w:t>
            </w:r>
          </w:p>
        </w:tc>
        <w:tc>
          <w:tcPr>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&gt; </w:t>
            </w:r>
            <w:r w:rsidDel="00000000" w:rsidR="00000000" w:rsidRPr="00000000">
              <w:rPr>
                <w:rFonts w:ascii="Arial" w:cs="Arial" w:eastAsia="Arial" w:hAnsi="Arial"/>
                <w:i w:val="1"/>
                <w:sz w:val="24"/>
                <w:szCs w:val="24"/>
                <w:rtl w:val="0"/>
              </w:rPr>
              <w:t xml:space="preserve">2</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times</w:t>
            </w:r>
          </w:p>
        </w:tc>
        <w:tc>
          <w:tcPr>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yearly</w:t>
            </w:r>
            <w:r w:rsidDel="00000000" w:rsidR="00000000" w:rsidRPr="00000000">
              <w:rPr>
                <w:rFonts w:ascii="Arial" w:cs="Arial" w:eastAsia="Arial" w:hAnsi="Arial"/>
                <w:b w:val="0"/>
                <w:i w:val="1"/>
                <w:smallCaps w:val="0"/>
                <w:strike w:val="0"/>
                <w:color w:val="8064a2"/>
                <w:sz w:val="24"/>
                <w:szCs w:val="24"/>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in arrears within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90</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days of each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accounting reference date</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based upon figures for the 12 months ending on the relevant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accounting reference date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5</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Acid Ratio</w:t>
            </w:r>
            <w:r w:rsidDel="00000000" w:rsidR="00000000" w:rsidRPr="00000000">
              <w:rPr>
                <w:rtl w:val="0"/>
              </w:rPr>
            </w:r>
          </w:p>
        </w:tc>
        <w:tc>
          <w:tcP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Acid Ratio = (Current Assets – Inventories) / Current Liabilities</w:t>
            </w:r>
            <w:r w:rsidDel="00000000" w:rsidR="00000000" w:rsidRPr="00000000">
              <w:rPr>
                <w:rtl w:val="0"/>
              </w:rPr>
            </w:r>
          </w:p>
        </w:tc>
        <w:tc>
          <w:tcP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&gt; </w:t>
            </w:r>
            <w:r w:rsidDel="00000000" w:rsidR="00000000" w:rsidRPr="00000000">
              <w:rPr>
                <w:rFonts w:ascii="Arial" w:cs="Arial" w:eastAsia="Arial" w:hAnsi="Arial"/>
                <w:i w:val="1"/>
                <w:sz w:val="24"/>
                <w:szCs w:val="24"/>
                <w:rtl w:val="0"/>
              </w:rPr>
              <w:t xml:space="preserve">0.8</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times</w:t>
            </w:r>
          </w:p>
        </w:tc>
        <w:tc>
          <w:tcP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yearly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in arrears within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90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days of each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accounting reference date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based upon figures at the relevant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accounting reference date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6</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Net Asset value</w:t>
            </w:r>
            <w:r w:rsidDel="00000000" w:rsidR="00000000" w:rsidRPr="00000000">
              <w:rPr>
                <w:rtl w:val="0"/>
              </w:rPr>
            </w:r>
          </w:p>
        </w:tc>
        <w:tc>
          <w:tcP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Net Asset Value = Net Assets</w:t>
            </w:r>
            <w:r w:rsidDel="00000000" w:rsidR="00000000" w:rsidRPr="00000000">
              <w:rPr>
                <w:rtl w:val="0"/>
              </w:rPr>
            </w:r>
          </w:p>
        </w:tc>
        <w:tc>
          <w:tcP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&gt; £0</w:t>
            </w:r>
            <w:r w:rsidDel="00000000" w:rsidR="00000000" w:rsidRPr="00000000">
              <w:rPr>
                <w:rtl w:val="0"/>
              </w:rPr>
            </w:r>
          </w:p>
        </w:tc>
        <w:tc>
          <w:tcPr>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yearly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in arrears within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90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days of each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accounting reference date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based upon figures at the relevant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accounting reference date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7</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Group Exposure Ratio</w:t>
            </w:r>
            <w:r w:rsidDel="00000000" w:rsidR="00000000" w:rsidRPr="00000000">
              <w:rPr>
                <w:rtl w:val="0"/>
              </w:rPr>
            </w:r>
          </w:p>
        </w:tc>
        <w:tc>
          <w:tcPr>
            <w:vAlign w:val="cente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Group Exposure / Gross Assets</w:t>
            </w:r>
            <w:r w:rsidDel="00000000" w:rsidR="00000000" w:rsidRPr="00000000">
              <w:rPr>
                <w:rtl w:val="0"/>
              </w:rPr>
            </w:r>
          </w:p>
        </w:tc>
        <w:tc>
          <w:tcPr>
            <w:vAlign w:val="cente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&lt; </w:t>
            </w:r>
            <w:r w:rsidDel="00000000" w:rsidR="00000000" w:rsidRPr="00000000">
              <w:rPr>
                <w:rFonts w:ascii="Arial" w:cs="Arial" w:eastAsia="Arial" w:hAnsi="Arial"/>
                <w:i w:val="1"/>
                <w:sz w:val="24"/>
                <w:szCs w:val="24"/>
                <w:rtl w:val="0"/>
              </w:rPr>
              <w:t xml:space="preserve">50</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Tested and reported yearly in arrears within 90 days of each accounting reference date based upon figures at the relevant accounting reference date</w:t>
            </w:r>
          </w:p>
        </w:tc>
      </w:tr>
    </w:tbl>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Suppliers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r w:rsidDel="00000000" w:rsidR="00000000" w:rsidRPr="00000000">
        <w:rPr>
          <w:rtl w:val="0"/>
        </w:rPr>
      </w:r>
    </w:p>
    <w:tbl>
      <w:tblPr>
        <w:tblStyle w:val="Table3"/>
        <w:tblW w:w="829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73"/>
        <w:gridCol w:w="4223"/>
        <w:tblGridChange w:id="0">
          <w:tblGrid>
            <w:gridCol w:w="4073"/>
            <w:gridCol w:w="4223"/>
          </w:tblGrid>
        </w:tblGridChange>
      </w:tblGrid>
      <w:tr>
        <w:trPr>
          <w:cantSplit w:val="0"/>
          <w:tblHeader w:val="0"/>
        </w:trPr>
        <w:tc>
          <w:tcPr>
            <w:shd w:fill="d9d9d9" w:val="clea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w:t>
            </w:r>
          </w:p>
        </w:tc>
        <w:tc>
          <w:tcPr>
            <w:shd w:fill="d9d9d9" w:val="clea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Applicable Financial Indicators</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(these are the Financial Indicators from the table in Paragraph 5.1 which are to apply to the Monitored Suppliers)</w:t>
            </w:r>
          </w:p>
        </w:tc>
      </w:tr>
      <w:tr>
        <w:trPr>
          <w:cantSplit w:val="0"/>
          <w:tblHeader w:val="0"/>
        </w:trPr>
        <w:tc>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[Entity 1 e.g Group Member, Sub-contractor, Relevant Parent Company etc.] </w:t>
            </w:r>
            <w:r w:rsidDel="00000000" w:rsidR="00000000" w:rsidRPr="00000000">
              <w:rPr>
                <w:rtl w:val="0"/>
              </w:rPr>
            </w:r>
          </w:p>
        </w:tc>
        <w:tc>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 – Operating Margin]</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[2 – etc..]</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[3][4][5][6][7][8][etc..]</w:t>
            </w:r>
            <w:r w:rsidDel="00000000" w:rsidR="00000000" w:rsidRPr="00000000">
              <w:rPr>
                <w:rtl w:val="0"/>
              </w:rPr>
            </w:r>
          </w:p>
        </w:tc>
      </w:tr>
      <w:tr>
        <w:trPr>
          <w:cantSplit w:val="0"/>
          <w:tblHeader w:val="0"/>
        </w:trPr>
        <w:tc>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[Entity 2 e.g Group Member, Sub-contractor, Relevant Parent Company etc.]</w:t>
            </w:r>
          </w:p>
        </w:tc>
        <w:tc>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 – Operating Margin]</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[2 – etc.]</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[3][4][5][6][7][8][etc..]</w:t>
            </w:r>
          </w:p>
        </w:tc>
      </w:tr>
      <w:tr>
        <w:trPr>
          <w:cantSplit w:val="0"/>
          <w:tblHeader w:val="0"/>
        </w:trPr>
        <w:tc>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[etc.]</w:t>
            </w:r>
          </w:p>
        </w:tc>
        <w:tc>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[etc.]</w:t>
            </w:r>
          </w:p>
        </w:tc>
      </w:tr>
    </w:tbl>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rights</w:t>
      </w:r>
    </w:p>
    <w:p w:rsidR="00000000" w:rsidDel="00000000" w:rsidP="00000000" w:rsidRDefault="00000000" w:rsidRPr="00000000" w14:paraId="0000009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be entitled to terminate the Contract if:</w:t>
      </w:r>
    </w:p>
    <w:p w:rsidR="00000000" w:rsidDel="00000000" w:rsidP="00000000" w:rsidRDefault="00000000" w:rsidRPr="00000000" w14:paraId="0000009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the Relevant Authority of a Financial Distress Event in accordance with Paragraph 2.3.3;</w:t>
      </w:r>
    </w:p>
    <w:p w:rsidR="00000000" w:rsidDel="00000000" w:rsidP="00000000" w:rsidRDefault="00000000" w:rsidRPr="00000000" w14:paraId="0000009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09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Remediation Plan (or any updated Financial Distress Remediation Plan) in accordance with Paragraph 4.6.3,</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9E">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Primacy of Credit Ratings</w:t>
      </w:r>
    </w:p>
    <w:p w:rsidR="00000000" w:rsidDel="00000000" w:rsidP="00000000" w:rsidRDefault="00000000" w:rsidRPr="00000000" w14:paraId="0000009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0A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0A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be entitled to require the Supplier to provide financial information in accordance with Paragraph 4.3.2(b).</w:t>
      </w:r>
    </w:p>
    <w:p w:rsidR="00000000" w:rsidDel="00000000" w:rsidP="00000000" w:rsidRDefault="00000000" w:rsidRPr="00000000" w14:paraId="000000A2">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 confirmation</w:t>
      </w:r>
    </w:p>
    <w:p w:rsidR="00000000" w:rsidDel="00000000" w:rsidP="00000000" w:rsidRDefault="00000000" w:rsidRPr="00000000" w14:paraId="000000A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Contract has been specified as a Critical Service Contract under Paragraph 1.1 of Order Schedule 24 (Corporate Resolution Planning)(if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000000" w:rsidDel="00000000" w:rsidP="00000000" w:rsidRDefault="00000000" w:rsidRPr="00000000" w14:paraId="000000A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0A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p>
    <w:p w:rsidR="00000000" w:rsidDel="00000000" w:rsidP="00000000" w:rsidRDefault="00000000" w:rsidRPr="00000000" w14:paraId="000000A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A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p>
    <w:p w:rsidR="00000000" w:rsidDel="00000000" w:rsidP="00000000" w:rsidRDefault="00000000" w:rsidRPr="00000000" w14:paraId="000000A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A">
      <w:pPr>
        <w:spacing w:after="200" w:line="276" w:lineRule="auto"/>
        <w:jc w:val="left"/>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 Rating Agencies and their standard Rating System</w:t>
      </w:r>
    </w:p>
    <w:p w:rsidR="00000000" w:rsidDel="00000000" w:rsidP="00000000" w:rsidRDefault="00000000" w:rsidRPr="00000000" w14:paraId="000000A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sz w:val="24"/>
          <w:szCs w:val="24"/>
          <w:rtl w:val="0"/>
        </w:rPr>
        <w:t xml:space="preserve">Dun &amp; Bradstreet (D&amp;B)</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A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D">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2</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Ratings and Credit Rating Thresholds</w:t>
      </w:r>
      <w:r w:rsidDel="00000000" w:rsidR="00000000" w:rsidRPr="00000000">
        <w:rPr>
          <w:rtl w:val="0"/>
        </w:rPr>
      </w:r>
    </w:p>
    <w:tbl>
      <w:tblPr>
        <w:tblStyle w:val="Table4"/>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A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B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0B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shd w:fill="ffffff" w:val="clear"/>
          </w:tcPr>
          <w:p w:rsidR="00000000" w:rsidDel="00000000" w:rsidP="00000000" w:rsidRDefault="00000000" w:rsidRPr="00000000" w14:paraId="000000B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t>
            </w:r>
            <w:r w:rsidDel="00000000" w:rsidR="00000000" w:rsidRPr="00000000">
              <w:rPr>
                <w:rFonts w:ascii="Arial" w:cs="Arial" w:eastAsia="Arial" w:hAnsi="Arial"/>
                <w:sz w:val="24"/>
                <w:szCs w:val="24"/>
                <w:rtl w:val="0"/>
              </w:rPr>
              <w:t xml:space="preserve">D&amp;B Failure Score</w:t>
            </w:r>
            <w:r w:rsidDel="00000000" w:rsidR="00000000" w:rsidRPr="00000000">
              <w:rPr>
                <w:rFonts w:ascii="Arial" w:cs="Arial" w:eastAsia="Arial" w:hAnsi="Arial"/>
                <w:b w:val="1"/>
                <w:sz w:val="24"/>
                <w:szCs w:val="24"/>
                <w:rtl w:val="0"/>
              </w:rPr>
              <w:t xml:space="preserve"> 40</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B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0B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0B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B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8">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3: Calculation methodology for Financial Indicators</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General methodology</w:t>
      </w:r>
    </w:p>
    <w:p w:rsidR="00000000" w:rsidDel="00000000" w:rsidP="00000000" w:rsidRDefault="00000000" w:rsidRPr="00000000" w14:paraId="000000B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Terminology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B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4"/>
      <w:bookmarkEnd w:id="4"/>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Groups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B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Foreign currency conversion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B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Treatment of non-underlying items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Financial Indicators should be based on the figures in the financial statements before adjusting for non-underlying items.</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Specific Methodology</w:t>
      </w:r>
    </w:p>
    <w:tbl>
      <w:tblPr>
        <w:tblStyle w:val="Table5"/>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8"/>
        <w:gridCol w:w="6478"/>
        <w:tblGridChange w:id="0">
          <w:tblGrid>
            <w:gridCol w:w="2538"/>
            <w:gridCol w:w="6478"/>
          </w:tblGrid>
        </w:tblGridChange>
      </w:tblGrid>
      <w:tr>
        <w:trPr>
          <w:cantSplit w:val="0"/>
          <w:tblHeader w:val="0"/>
        </w:trPr>
        <w:tc>
          <w:tcPr>
            <w:shd w:fill="d9d9d9" w:val="clea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Specific Methodology</w:t>
            </w:r>
          </w:p>
        </w:tc>
      </w:tr>
      <w:tr>
        <w:trPr>
          <w:cantSplit w:val="0"/>
          <w:tblHeader w:val="0"/>
        </w:trPr>
        <w:tc>
          <w:tcPr>
            <w:vAlign w:val="center"/>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Margin</w:t>
            </w:r>
          </w:p>
        </w:tc>
        <w:tc>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Figures for Operating Profit and Revenue should exclude the entity’s share of the results of any joint ventures or Associates.</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 entity has an operating loss (i.e. where the operating profit is negative), Operating Profit should be taken to be zero.</w:t>
            </w:r>
          </w:p>
        </w:tc>
      </w:tr>
      <w:tr>
        <w:trPr>
          <w:cantSplit w:val="0"/>
          <w:tblHeader w:val="0"/>
        </w:trPr>
        <w:tc>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Debt to EBITDA Ratio</w:t>
            </w:r>
          </w:p>
        </w:tc>
        <w:tc>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Debt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EBITDA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Operating profit + Depreciation charge + Amortisation charge</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Debt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Deferred consideration payable should be included in Net Debt despite typically being non-interest bearing.</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Cash and cash equivalents should include short-term financial investments shown in current assets.</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debt is negative (i.e. an entity has net cash), the relevant Financial Target Threshold should be treated as having been met. </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bookmarkStart w:colFirst="0" w:colLast="0" w:name="_heading=h.3dy6vkm" w:id="5"/>
            <w:bookmarkEnd w:id="5"/>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EBITDA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trPr>
          <w:cantSplit w:val="0"/>
          <w:tblHeader w:val="0"/>
        </w:trPr>
        <w:tc>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Debt + Net  Pension Deficit to EBITDA ratio</w:t>
            </w:r>
          </w:p>
        </w:tc>
        <w:tc>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Debt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Pension Deficit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Retirement Benefit Obligations – Retirement Benefit Assets</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EBITDA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Operating profit + Depreciation charge + Amortisation charge</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Debt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not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non-designated hedges). Borrowings should also include balances owed to other group members.</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Deferred consideration payable should be included in Net Debt despite typically being non-interest bearing.</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Cash and cash equivalents should include short-term financial investments shown in current assets.</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Pension Deficit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Debt + Net Pension Deficit’ is negative, the relevant Financial Target Threshold should be treated as having been met.</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EBITDA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vAlign w:val="center"/>
          </w:tcPr>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Interest Paid Cover</w:t>
            </w:r>
          </w:p>
        </w:tc>
        <w:tc>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Earnings Before Interest and Tax</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Operating profit</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Interest Paid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Interest paid – Interest received</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Interest received and interest paid should be shown on the face of the Cash Flow statement.</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Acid Ratio</w:t>
            </w:r>
          </w:p>
        </w:tc>
        <w:tc>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elements that are used to calculate the Acid Ratio are available on the face of the Balance Sheet in a standard set of financial statements.</w:t>
            </w:r>
          </w:p>
        </w:tc>
      </w:tr>
      <w:tr>
        <w:trPr>
          <w:cantSplit w:val="0"/>
          <w:tblHeader w:val="0"/>
        </w:trPr>
        <w:tc>
          <w:tcPr>
            <w:vAlign w:val="center"/>
          </w:tcPr>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Asset value</w:t>
            </w:r>
          </w:p>
        </w:tc>
        <w:tc>
          <w:tcPr/>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vAlign w:val="center"/>
          </w:tcPr>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7</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Group Exposure Ratio</w:t>
            </w:r>
          </w:p>
        </w:tc>
        <w:tc>
          <w:tcPr/>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Group Exposure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Balances owed by Group Undertakings + Contingent liabilities assumed in support of Group Undertakings</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Gross Assets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Fixed Assets + Current Assets</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Group Exposure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Gross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Both Fixed assets and Current assets are shown on the face of the Balance Sheet</w:t>
            </w:r>
          </w:p>
        </w:tc>
      </w:tr>
    </w:tbl>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8">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d34og8" w:id="7"/>
      <w:bookmarkEnd w:id="7"/>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Annex 4: Board Confirmation</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Name:</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Reference Number:</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acknowledge the requirements set out at paragraph 8 of Joint Schedule 7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Financial Difficulties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0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720"/>
          <w:tab w:val="left" w:leader="none"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previous Board Confirmation and the Effective Date or is subsisting; or</w:t>
      </w:r>
    </w:p>
    <w:p w:rsidR="00000000" w:rsidDel="00000000" w:rsidP="00000000" w:rsidRDefault="00000000" w:rsidRPr="00000000" w14:paraId="0000010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720"/>
          <w:tab w:val="left" w:leader="none"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behalf of the Board of Directors:</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Chair</w:t>
        <w:tab/>
        <w:tab/>
        <w:t xml:space="preserve">…………………………………</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Director</w:t>
        <w:tab/>
        <w:tab/>
        <w:t xml:space="preserve">…………………………………</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0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F">
      <w:pPr>
        <w:spacing w:after="0" w:lineRule="auto"/>
        <w:rPr>
          <w:rFonts w:ascii="Arial" w:cs="Arial" w:eastAsia="Arial" w:hAnsi="Arial"/>
          <w:sz w:val="24"/>
          <w:szCs w:val="24"/>
        </w:rPr>
      </w:pPr>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RM6348</w:t>
      <w:tab/>
      <w:t xml:space="preserve">                                           </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4">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v1.2</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5">
    <w:pPr>
      <w:tabs>
        <w:tab w:val="center" w:leader="none" w:pos="4513"/>
        <w:tab w:val="right" w:leader="none" w:pos="9026"/>
      </w:tabs>
      <w:spacing w:after="0" w:lineRule="auto"/>
      <w:rPr>
        <w:color w:val="bfbfbf"/>
      </w:rPr>
    </w:pPr>
    <w:r w:rsidDel="00000000" w:rsidR="00000000" w:rsidRPr="00000000">
      <w:rPr>
        <w:color w:val="bfbfbf"/>
        <w:rtl w:val="0"/>
      </w:rPr>
      <w:t xml:space="preserve">DPS Ref: RM</w:t>
      <w:tab/>
      <w:t xml:space="preserve">                                           </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7">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2023</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basedOn w:val="DefaultParagraphFont"/>
    <w:link w:val="CommentText"/>
    <w:uiPriority w:val="99"/>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tdBodyText" w:customStyle="1">
    <w:name w:val="Std Body Text"/>
    <w:basedOn w:val="Normal"/>
    <w:qFormat w:val="1"/>
    <w:rsid w:val="006B5FA9"/>
    <w:pPr>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StdBodyTextBold" w:customStyle="1">
    <w:name w:val="Std Body Text Bold"/>
    <w:basedOn w:val="Normal"/>
    <w:next w:val="StdBodyText"/>
    <w:link w:val="StdBodyTextBoldChar"/>
    <w:qFormat w:val="1"/>
    <w:rsid w:val="006B5FA9"/>
    <w:pPr>
      <w:overflowPunct w:val="1"/>
      <w:autoSpaceDE w:val="1"/>
      <w:autoSpaceDN w:val="1"/>
      <w:adjustRightInd w:val="1"/>
      <w:spacing w:after="200" w:before="100"/>
      <w:jc w:val="left"/>
      <w:textAlignment w:val="auto"/>
    </w:pPr>
    <w:rPr>
      <w:rFonts w:ascii="Arial" w:cs="Times New Roman" w:hAnsi="Arial"/>
      <w:b w:val="1"/>
      <w:sz w:val="24"/>
      <w:szCs w:val="24"/>
      <w:lang w:eastAsia="en-GB"/>
    </w:rPr>
  </w:style>
  <w:style w:type="character" w:styleId="StdBodyTextBoldChar" w:customStyle="1">
    <w:name w:val="Std Body Text Bold Char"/>
    <w:basedOn w:val="DefaultParagraphFont"/>
    <w:link w:val="StdBodyTextBold"/>
    <w:rsid w:val="006B5FA9"/>
    <w:rPr>
      <w:rFonts w:ascii="Arial" w:cs="Times New Roman" w:eastAsia="Times New Roman" w:hAnsi="Arial"/>
      <w:b w:val="1"/>
      <w:sz w:val="24"/>
      <w:szCs w:val="24"/>
      <w:lang w:eastAsia="en-GB"/>
    </w:rPr>
  </w:style>
  <w:style w:type="paragraph" w:styleId="StdBodyText1" w:customStyle="1">
    <w:name w:val="Std Body Text 1"/>
    <w:basedOn w:val="StdBodyText"/>
    <w:rsid w:val="006B5FA9"/>
    <w:pPr>
      <w:ind w:left="720"/>
    </w:pPr>
  </w:style>
  <w:style w:type="paragraph" w:styleId="AnnexHeading" w:customStyle="1">
    <w:name w:val="Annex Heading"/>
    <w:basedOn w:val="Normal"/>
    <w:next w:val="Normal"/>
    <w:rsid w:val="006B5FA9"/>
    <w:pPr>
      <w:numPr>
        <w:numId w:val="15"/>
      </w:numPr>
      <w:overflowPunct w:val="1"/>
      <w:autoSpaceDE w:val="1"/>
      <w:autoSpaceDN w:val="1"/>
      <w:adjustRightInd w:val="1"/>
      <w:spacing w:after="300" w:before="100"/>
      <w:jc w:val="center"/>
      <w:textAlignment w:val="auto"/>
    </w:pPr>
    <w:rPr>
      <w:rFonts w:ascii="Arial Bold" w:cs="Times New Roman" w:hAnsi="Arial Bold"/>
      <w:b w:val="1"/>
      <w:caps w:val="1"/>
      <w:sz w:val="24"/>
      <w:szCs w:val="24"/>
      <w:lang w:eastAsia="en-GB"/>
    </w:rPr>
  </w:style>
  <w:style w:type="paragraph" w:styleId="AppendixText1" w:customStyle="1">
    <w:name w:val="Appendix Text 1"/>
    <w:basedOn w:val="Normal"/>
    <w:next w:val="StdBodyText1"/>
    <w:rsid w:val="006B5FA9"/>
    <w:pPr>
      <w:numPr>
        <w:numId w:val="16"/>
      </w:numPr>
      <w:overflowPunct w:val="1"/>
      <w:autoSpaceDE w:val="1"/>
      <w:autoSpaceDN w:val="1"/>
      <w:adjustRightInd w:val="1"/>
      <w:spacing w:after="200" w:before="100"/>
      <w:jc w:val="left"/>
      <w:textAlignment w:val="auto"/>
    </w:pPr>
    <w:rPr>
      <w:rFonts w:ascii="Arial" w:cs="Times New Roman" w:hAnsi="Arial"/>
      <w:b w:val="1"/>
      <w:sz w:val="24"/>
      <w:szCs w:val="24"/>
      <w:lang w:eastAsia="en-GB"/>
    </w:rPr>
  </w:style>
  <w:style w:type="paragraph" w:styleId="AppendixText2" w:customStyle="1">
    <w:name w:val="Appendix Text 2"/>
    <w:basedOn w:val="AppendixText1"/>
    <w:next w:val="Normal"/>
    <w:rsid w:val="006B5FA9"/>
    <w:pPr>
      <w:numPr>
        <w:ilvl w:val="1"/>
      </w:numPr>
    </w:pPr>
    <w:rPr>
      <w:b w:val="0"/>
    </w:rPr>
  </w:style>
  <w:style w:type="paragraph" w:styleId="AppendixText3" w:customStyle="1">
    <w:name w:val="Appendix Text 3"/>
    <w:basedOn w:val="Normal"/>
    <w:next w:val="Normal"/>
    <w:rsid w:val="006B5FA9"/>
    <w:pPr>
      <w:numPr>
        <w:ilvl w:val="2"/>
        <w:numId w:val="16"/>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4" w:customStyle="1">
    <w:name w:val="Appendix Text 4"/>
    <w:basedOn w:val="Normal"/>
    <w:next w:val="Normal"/>
    <w:rsid w:val="006B5FA9"/>
    <w:pPr>
      <w:numPr>
        <w:ilvl w:val="3"/>
        <w:numId w:val="16"/>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5" w:customStyle="1">
    <w:name w:val="Appendix Text 5"/>
    <w:basedOn w:val="Normal"/>
    <w:next w:val="Normal"/>
    <w:rsid w:val="006B5FA9"/>
    <w:pPr>
      <w:numPr>
        <w:ilvl w:val="4"/>
        <w:numId w:val="16"/>
      </w:numPr>
      <w:tabs>
        <w:tab w:val="left" w:pos="720"/>
        <w:tab w:val="left" w:pos="252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6" w:customStyle="1">
    <w:name w:val="Appendix Text 6"/>
    <w:basedOn w:val="AppendixText5"/>
    <w:rsid w:val="006B5FA9"/>
    <w:pPr>
      <w:numPr>
        <w:ilvl w:val="5"/>
      </w:numPr>
    </w:pPr>
  </w:style>
  <w:style w:type="paragraph" w:styleId="StdBodyText4" w:customStyle="1">
    <w:name w:val="Std Body Text 4"/>
    <w:basedOn w:val="Normal"/>
    <w:rsid w:val="006B5FA9"/>
    <w:pPr>
      <w:overflowPunct w:val="1"/>
      <w:autoSpaceDE w:val="1"/>
      <w:autoSpaceDN w:val="1"/>
      <w:adjustRightInd w:val="1"/>
      <w:spacing w:after="200" w:before="100"/>
      <w:ind w:left="1803"/>
      <w:jc w:val="left"/>
      <w:textAlignment w:val="auto"/>
    </w:pPr>
    <w:rPr>
      <w:rFonts w:ascii="Arial" w:cs="Times New Roman" w:hAnsi="Arial"/>
      <w:sz w:val="24"/>
      <w:szCs w:val="24"/>
      <w:lang w:eastAsia="en-GB"/>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trategic-supplier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jlO90Nff7NnrQXLvmPAdtLxqpA==">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2023-05-23T15:42:00Z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